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074DE4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Рославльского района Смоленской области</w:t>
      </w:r>
    </w:p>
    <w:p w:rsidR="00616BC0" w:rsidRPr="006F02BD" w:rsidRDefault="00616BC0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                         </w:t>
      </w:r>
      <w:r w:rsidR="00DB03CD">
        <w:rPr>
          <w:color w:val="171717" w:themeColor="background2" w:themeShade="1A"/>
          <w:sz w:val="28"/>
          <w:szCs w:val="28"/>
        </w:rPr>
        <w:t xml:space="preserve">          </w:t>
      </w:r>
      <w:r w:rsidRPr="006F02BD">
        <w:rPr>
          <w:color w:val="171717" w:themeColor="background2" w:themeShade="1A"/>
          <w:sz w:val="28"/>
          <w:szCs w:val="28"/>
        </w:rPr>
        <w:t xml:space="preserve"> от </w:t>
      </w:r>
      <w:r w:rsidR="00DB03CD">
        <w:rPr>
          <w:color w:val="171717" w:themeColor="background2" w:themeShade="1A"/>
          <w:sz w:val="28"/>
          <w:szCs w:val="28"/>
        </w:rPr>
        <w:t>8.11.</w:t>
      </w:r>
      <w:r w:rsidRPr="006F02BD">
        <w:rPr>
          <w:color w:val="171717" w:themeColor="background2" w:themeShade="1A"/>
          <w:sz w:val="28"/>
          <w:szCs w:val="28"/>
        </w:rPr>
        <w:t xml:space="preserve"> 2021 № </w:t>
      </w:r>
      <w:r w:rsidR="00DB03CD">
        <w:rPr>
          <w:color w:val="171717" w:themeColor="background2" w:themeShade="1A"/>
          <w:sz w:val="28"/>
          <w:szCs w:val="28"/>
        </w:rPr>
        <w:t>22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074DE4">
        <w:rPr>
          <w:b/>
          <w:bCs/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D03C14">
      <w:pPr>
        <w:jc w:val="center"/>
        <w:rPr>
          <w:i/>
          <w:iCs/>
          <w:color w:val="171717" w:themeColor="background2" w:themeShade="1A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Астапковичского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 xml:space="preserve">(далее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Par61"/>
      <w:bookmarkEnd w:id="0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Pr="006F02BD">
        <w:rPr>
          <w:color w:val="171717" w:themeColor="background2" w:themeShade="1A"/>
          <w:sz w:val="28"/>
          <w:szCs w:val="28"/>
        </w:rPr>
        <w:t xml:space="preserve">во время </w:t>
      </w:r>
      <w:proofErr w:type="gramEnd"/>
      <w:r w:rsidRPr="006F02BD">
        <w:rPr>
          <w:color w:val="171717" w:themeColor="background2" w:themeShade="1A"/>
          <w:sz w:val="28"/>
          <w:szCs w:val="28"/>
        </w:rPr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весенне-</w:t>
      </w:r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элементы улично-дорожной сети (аллеи, переулки, площади, </w:t>
      </w:r>
      <w:proofErr w:type="gramStart"/>
      <w:r w:rsidRPr="006F02BD">
        <w:rPr>
          <w:color w:val="171717" w:themeColor="background2" w:themeShade="1A"/>
          <w:sz w:val="28"/>
          <w:szCs w:val="28"/>
        </w:rPr>
        <w:t>проезды,  проулки</w:t>
      </w:r>
      <w:proofErr w:type="gramEnd"/>
      <w:r w:rsidRPr="006F02BD">
        <w:rPr>
          <w:color w:val="171717" w:themeColor="background2" w:themeShade="1A"/>
          <w:sz w:val="28"/>
          <w:szCs w:val="28"/>
        </w:rPr>
        <w:t>, разъезды, спуски, тракты, тупики, улицы, шоссе);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Рославльского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8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марта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074DE4">
        <w:rPr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670640" w:rsidRPr="006F02BD">
        <w:rPr>
          <w:color w:val="171717" w:themeColor="background2" w:themeShade="1A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Астапковичского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9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 </w:t>
      </w:r>
      <w:hyperlink r:id="rId11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микропредприятия</w:t>
      </w:r>
      <w:proofErr w:type="spellEnd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2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1" w:name="Par318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2F624D" w:rsidRPr="006F02BD" w:rsidRDefault="002F624D" w:rsidP="002F624D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4.1. Правом на обжалование решений Администрации, действий (бездействия) должностных лиц, уполномоченных осуществлять контроль в сфере благоустройства, обладают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(бездействие):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1) решения о проведении контрольных мероприятий;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4.2.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4.3.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20E40" w:rsidRPr="006F02BD" w:rsidRDefault="00B20E4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Pr="006F02BD">
        <w:rPr>
          <w:color w:val="171717" w:themeColor="background2" w:themeShade="1A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74D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Астапковичского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03C14" w:rsidRPr="006F02BD" w:rsidRDefault="00994EB7" w:rsidP="00B20E40">
      <w:pPr>
        <w:widowControl w:val="0"/>
        <w:ind w:firstLine="567"/>
        <w:jc w:val="both"/>
        <w:rPr>
          <w:color w:val="171717" w:themeColor="background2" w:themeShade="1A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  <w:bookmarkStart w:id="2" w:name="_GoBack"/>
      <w:bookmarkEnd w:id="2"/>
    </w:p>
    <w:p w:rsidR="00915CD9" w:rsidRPr="006F02BD" w:rsidRDefault="009D154E" w:rsidP="00CE2F00">
      <w:pPr>
        <w:rPr>
          <w:color w:val="171717" w:themeColor="background2" w:themeShade="1A"/>
        </w:rPr>
      </w:pPr>
    </w:p>
    <w:sectPr w:rsidR="00915CD9" w:rsidRPr="006F02BD" w:rsidSect="006D3BB4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4E" w:rsidRDefault="009D154E" w:rsidP="00D03C14">
      <w:r>
        <w:separator/>
      </w:r>
    </w:p>
  </w:endnote>
  <w:endnote w:type="continuationSeparator" w:id="0">
    <w:p w:rsidR="009D154E" w:rsidRDefault="009D154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4E" w:rsidRDefault="009D154E" w:rsidP="00D03C14">
      <w:r>
        <w:separator/>
      </w:r>
    </w:p>
  </w:footnote>
  <w:footnote w:type="continuationSeparator" w:id="0">
    <w:p w:rsidR="009D154E" w:rsidRDefault="009D154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F530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D15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F530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0E40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9D15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4DE4"/>
    <w:rsid w:val="00106DAC"/>
    <w:rsid w:val="001B4B90"/>
    <w:rsid w:val="002F624D"/>
    <w:rsid w:val="0032509A"/>
    <w:rsid w:val="00366091"/>
    <w:rsid w:val="003B2BF8"/>
    <w:rsid w:val="003D3F6C"/>
    <w:rsid w:val="004D0F65"/>
    <w:rsid w:val="0054601D"/>
    <w:rsid w:val="005516C1"/>
    <w:rsid w:val="00561089"/>
    <w:rsid w:val="0060424D"/>
    <w:rsid w:val="00616BC0"/>
    <w:rsid w:val="00634920"/>
    <w:rsid w:val="00670640"/>
    <w:rsid w:val="006D3BB4"/>
    <w:rsid w:val="006F02BD"/>
    <w:rsid w:val="007100F8"/>
    <w:rsid w:val="00771675"/>
    <w:rsid w:val="00784C8E"/>
    <w:rsid w:val="007A719C"/>
    <w:rsid w:val="0081200B"/>
    <w:rsid w:val="00845AA5"/>
    <w:rsid w:val="008629D3"/>
    <w:rsid w:val="008D23C3"/>
    <w:rsid w:val="008F19C0"/>
    <w:rsid w:val="00935631"/>
    <w:rsid w:val="00964288"/>
    <w:rsid w:val="00975B92"/>
    <w:rsid w:val="00994EB7"/>
    <w:rsid w:val="009D07EB"/>
    <w:rsid w:val="009D154E"/>
    <w:rsid w:val="00A56E10"/>
    <w:rsid w:val="00B20E40"/>
    <w:rsid w:val="00B6055D"/>
    <w:rsid w:val="00B61550"/>
    <w:rsid w:val="00B90D25"/>
    <w:rsid w:val="00BD0580"/>
    <w:rsid w:val="00BF5309"/>
    <w:rsid w:val="00C32632"/>
    <w:rsid w:val="00C624EE"/>
    <w:rsid w:val="00C8084B"/>
    <w:rsid w:val="00CA5A53"/>
    <w:rsid w:val="00CE2F00"/>
    <w:rsid w:val="00D03C14"/>
    <w:rsid w:val="00D51528"/>
    <w:rsid w:val="00DB03CD"/>
    <w:rsid w:val="00DB429C"/>
    <w:rsid w:val="00DF67D7"/>
    <w:rsid w:val="00E0632E"/>
    <w:rsid w:val="00E34FBC"/>
    <w:rsid w:val="00E715F5"/>
    <w:rsid w:val="00EE6BE8"/>
    <w:rsid w:val="00F136F4"/>
    <w:rsid w:val="00F27D03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8E51-1E14-4231-B670-5B76DAF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CC41-4CE4-4A61-BA6A-4DDE45C9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2022-10-27T19:23:00Z</dcterms:created>
  <dcterms:modified xsi:type="dcterms:W3CDTF">2022-10-27T19:24:00Z</dcterms:modified>
</cp:coreProperties>
</file>